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30" w:rsidRDefault="00DD2F30" w:rsidP="001311C0">
      <w:pPr>
        <w:rPr>
          <w:rFonts w:asciiTheme="minorHAnsi" w:hAnsiTheme="minorHAnsi"/>
          <w:sz w:val="20"/>
          <w:szCs w:val="20"/>
        </w:rPr>
      </w:pPr>
      <w:bookmarkStart w:id="0" w:name="_GoBack"/>
      <w:bookmarkEnd w:id="0"/>
      <w:r w:rsidRPr="00933648">
        <w:rPr>
          <w:rFonts w:asciiTheme="minorHAnsi" w:hAnsiTheme="minorHAnsi"/>
          <w:sz w:val="20"/>
          <w:szCs w:val="20"/>
        </w:rPr>
        <w:t>CPB FMEA # 17 Transfusion error failure</w:t>
      </w:r>
    </w:p>
    <w:p w:rsidR="00974CF7" w:rsidRPr="00933648" w:rsidRDefault="00974CF7" w:rsidP="001311C0">
      <w:pPr>
        <w:rPr>
          <w:rFonts w:asciiTheme="minorHAnsi" w:hAnsiTheme="minorHAnsi"/>
          <w:sz w:val="20"/>
          <w:szCs w:val="20"/>
        </w:rPr>
      </w:pP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Friends-</w:t>
      </w:r>
    </w:p>
    <w:p w:rsidR="006C4B37" w:rsidRPr="00933648" w:rsidRDefault="006C4B37" w:rsidP="006C4B37">
      <w:pPr>
        <w:rPr>
          <w:rFonts w:asciiTheme="minorHAnsi" w:hAnsiTheme="minorHAnsi"/>
          <w:sz w:val="20"/>
          <w:szCs w:val="20"/>
        </w:rPr>
      </w:pPr>
      <w:r w:rsidRPr="00933648">
        <w:rPr>
          <w:rFonts w:asciiTheme="minorHAnsi" w:hAnsiTheme="minorHAnsi"/>
          <w:sz w:val="20"/>
          <w:szCs w:val="20"/>
        </w:rPr>
        <w:t>This week’s FMEA is about transfusion errors on CPB. I wanted to write this for a couple of reasons. Firstly, transfusion errors are one of the most frequent sentinel events according to the J</w:t>
      </w:r>
      <w:r w:rsidR="00DD2F30" w:rsidRPr="00933648">
        <w:rPr>
          <w:rFonts w:asciiTheme="minorHAnsi" w:hAnsiTheme="minorHAnsi"/>
          <w:sz w:val="20"/>
          <w:szCs w:val="20"/>
        </w:rPr>
        <w:t>C</w:t>
      </w:r>
      <w:r w:rsidRPr="00933648">
        <w:rPr>
          <w:rFonts w:asciiTheme="minorHAnsi" w:hAnsiTheme="minorHAnsi"/>
          <w:sz w:val="20"/>
          <w:szCs w:val="20"/>
        </w:rPr>
        <w:t xml:space="preserve">. So perfusionists should have a formal FMEA that recognizes this risk. A transfusion </w:t>
      </w:r>
      <w:r w:rsidR="00DD2F30" w:rsidRPr="00933648">
        <w:rPr>
          <w:rFonts w:asciiTheme="minorHAnsi" w:hAnsiTheme="minorHAnsi"/>
          <w:sz w:val="20"/>
          <w:szCs w:val="20"/>
        </w:rPr>
        <w:t>error</w:t>
      </w:r>
      <w:r w:rsidRPr="00933648">
        <w:rPr>
          <w:rFonts w:asciiTheme="minorHAnsi" w:hAnsiTheme="minorHAnsi"/>
          <w:sz w:val="20"/>
          <w:szCs w:val="20"/>
        </w:rPr>
        <w:t xml:space="preserve"> will, at minimum, trigger a root cause analysis (RCA) and focus intense scrutiny on perfusion personnel and practices. Who are these perfusionists? Who is in charge of them? Who approves their P&amp;P? Are they qualified to </w:t>
      </w:r>
      <w:r w:rsidR="00974CF7">
        <w:rPr>
          <w:rFonts w:asciiTheme="minorHAnsi" w:hAnsiTheme="minorHAnsi"/>
          <w:sz w:val="20"/>
          <w:szCs w:val="20"/>
        </w:rPr>
        <w:t>administer</w:t>
      </w:r>
      <w:r w:rsidRPr="00933648">
        <w:rPr>
          <w:rFonts w:asciiTheme="minorHAnsi" w:hAnsiTheme="minorHAnsi"/>
          <w:sz w:val="20"/>
          <w:szCs w:val="20"/>
        </w:rPr>
        <w:t xml:space="preserve"> blood? Etc. A critical RCA could even jeopardize a perfusionist’s job if he/she is not protected by special P&amp;Ps. It could also trigger a formal investigation by JC, CMMS, AABB and even the PSO. This could greatly antagonize the hospital’s administration against the perfusion staff. Outside assessors are sticklers for fol</w:t>
      </w:r>
      <w:r w:rsidR="00933648" w:rsidRPr="00933648">
        <w:rPr>
          <w:rFonts w:asciiTheme="minorHAnsi" w:hAnsiTheme="minorHAnsi"/>
          <w:sz w:val="20"/>
          <w:szCs w:val="20"/>
        </w:rPr>
        <w:t>lowing procedure. I refer to this</w:t>
      </w:r>
      <w:r w:rsidRPr="00933648">
        <w:rPr>
          <w:rFonts w:asciiTheme="minorHAnsi" w:hAnsiTheme="minorHAnsi"/>
          <w:sz w:val="20"/>
          <w:szCs w:val="20"/>
        </w:rPr>
        <w:t xml:space="preserve"> JC Patient Blood Management Guide on the FMEA (*http://www.jointcommission.org/assets/1/6/PBM_Implementation_Guide_20110624.pdf).</w:t>
      </w:r>
    </w:p>
    <w:p w:rsidR="006C4B37" w:rsidRPr="00933648" w:rsidRDefault="006C4B37" w:rsidP="006C4B37">
      <w:pPr>
        <w:rPr>
          <w:rFonts w:asciiTheme="minorHAnsi" w:hAnsiTheme="minorHAnsi"/>
          <w:sz w:val="20"/>
          <w:szCs w:val="20"/>
        </w:rPr>
      </w:pPr>
    </w:p>
    <w:p w:rsidR="006C4B37" w:rsidRPr="00933648" w:rsidRDefault="006C4B37" w:rsidP="006C4B37">
      <w:pPr>
        <w:rPr>
          <w:rFonts w:asciiTheme="minorHAnsi" w:hAnsiTheme="minorHAnsi"/>
          <w:sz w:val="20"/>
          <w:szCs w:val="20"/>
        </w:rPr>
      </w:pPr>
      <w:r w:rsidRPr="00933648">
        <w:rPr>
          <w:rFonts w:asciiTheme="minorHAnsi" w:hAnsiTheme="minorHAnsi"/>
          <w:sz w:val="20"/>
          <w:szCs w:val="20"/>
        </w:rPr>
        <w:t xml:space="preserve">Secondly, perfusionists usually </w:t>
      </w:r>
      <w:r w:rsidR="00974CF7">
        <w:rPr>
          <w:rFonts w:asciiTheme="minorHAnsi" w:hAnsiTheme="minorHAnsi"/>
          <w:sz w:val="20"/>
          <w:szCs w:val="20"/>
        </w:rPr>
        <w:t>administer</w:t>
      </w:r>
      <w:r w:rsidRPr="00933648">
        <w:rPr>
          <w:rFonts w:asciiTheme="minorHAnsi" w:hAnsiTheme="minorHAnsi"/>
          <w:sz w:val="20"/>
          <w:szCs w:val="20"/>
        </w:rPr>
        <w:t xml:space="preserve"> a blood transfusion on CPB under the authority of an AABB approved general transfusion P&amp;P of the hospital.  However the method of </w:t>
      </w:r>
      <w:r w:rsidR="00974CF7">
        <w:rPr>
          <w:rFonts w:asciiTheme="minorHAnsi" w:hAnsiTheme="minorHAnsi"/>
          <w:sz w:val="20"/>
          <w:szCs w:val="20"/>
        </w:rPr>
        <w:t>administering</w:t>
      </w:r>
      <w:r w:rsidRPr="00933648">
        <w:rPr>
          <w:rFonts w:asciiTheme="minorHAnsi" w:hAnsiTheme="minorHAnsi"/>
          <w:sz w:val="20"/>
          <w:szCs w:val="20"/>
        </w:rPr>
        <w:t xml:space="preserve"> blood on CPB is very different than that stipulated in an accepted AABB transfusion P&amp;P. We don’t use the recommended filters (we use better filters, but investigators don’t know that). We don’t use NS exclusively for chase fluid. We might first wash the RBCs through a cell saver to reduce preservatives, K+, free hemoglobin and glucose. (I can hear it now. Why did you do that and who authorized it?) We put the blood into the arterial system rather than the venous system. We give the blood much faster than is recommended. We document our vital signs differently and on a different record. We may not have a written order to give the blood. With all these differences and more, if an incident should occur the perfusionist may be on the hook for incorrectly performing the transfusion according to accepted P&amp;P or in violation of the P&amp;P.  Perfusionists need a transfusion P&amp;P that specifically relates to transfusions during CPB. So that is what this FMEA recommends for pre-emptive management.</w:t>
      </w:r>
    </w:p>
    <w:p w:rsidR="006C4B37" w:rsidRPr="00933648" w:rsidRDefault="006C4B37" w:rsidP="006C4B37">
      <w:pPr>
        <w:rPr>
          <w:rFonts w:asciiTheme="minorHAnsi" w:hAnsiTheme="minorHAnsi"/>
          <w:sz w:val="20"/>
          <w:szCs w:val="20"/>
        </w:rPr>
      </w:pPr>
    </w:p>
    <w:p w:rsidR="006C4B37" w:rsidRPr="00933648" w:rsidRDefault="006C4B37" w:rsidP="006C4B37">
      <w:pPr>
        <w:rPr>
          <w:rFonts w:asciiTheme="minorHAnsi" w:hAnsiTheme="minorHAnsi"/>
          <w:sz w:val="20"/>
          <w:szCs w:val="20"/>
        </w:rPr>
      </w:pPr>
      <w:r w:rsidRPr="00933648">
        <w:rPr>
          <w:rFonts w:asciiTheme="minorHAnsi" w:hAnsiTheme="minorHAnsi"/>
          <w:sz w:val="20"/>
          <w:szCs w:val="20"/>
        </w:rPr>
        <w:t>Of course the most important aspect is patient welfare.  Most perfusionists never give the incorrect blood product on CPB.  But</w:t>
      </w:r>
      <w:r w:rsidR="00933648" w:rsidRPr="00933648">
        <w:rPr>
          <w:rFonts w:asciiTheme="minorHAnsi" w:hAnsiTheme="minorHAnsi"/>
          <w:sz w:val="20"/>
          <w:szCs w:val="20"/>
        </w:rPr>
        <w:t>, based on my own experience,</w:t>
      </w:r>
      <w:r w:rsidRPr="00933648">
        <w:rPr>
          <w:rFonts w:asciiTheme="minorHAnsi" w:hAnsiTheme="minorHAnsi"/>
          <w:sz w:val="20"/>
          <w:szCs w:val="20"/>
        </w:rPr>
        <w:t xml:space="preserve"> I also think that those same perfusionists have found many errors in the blood preparation and identification process that needed correction before any blood was given. It is this deliberate awareness that keeps patients safe.  But any deviation from the normal </w:t>
      </w:r>
      <w:r w:rsidR="00DD2F30" w:rsidRPr="00933648">
        <w:rPr>
          <w:rFonts w:asciiTheme="minorHAnsi" w:hAnsiTheme="minorHAnsi"/>
          <w:sz w:val="20"/>
          <w:szCs w:val="20"/>
        </w:rPr>
        <w:t xml:space="preserve">CPB </w:t>
      </w:r>
      <w:r w:rsidRPr="00933648">
        <w:rPr>
          <w:rFonts w:asciiTheme="minorHAnsi" w:hAnsiTheme="minorHAnsi"/>
          <w:sz w:val="20"/>
          <w:szCs w:val="20"/>
        </w:rPr>
        <w:t xml:space="preserve">process such as an emergent life threatening situation when thoughts are focused elsewhere can result in an unintentional </w:t>
      </w:r>
      <w:r w:rsidR="00DD2F30" w:rsidRPr="00933648">
        <w:rPr>
          <w:rFonts w:asciiTheme="minorHAnsi" w:hAnsiTheme="minorHAnsi"/>
          <w:sz w:val="20"/>
          <w:szCs w:val="20"/>
        </w:rPr>
        <w:t xml:space="preserve">transfusion </w:t>
      </w:r>
      <w:r w:rsidRPr="00933648">
        <w:rPr>
          <w:rFonts w:asciiTheme="minorHAnsi" w:hAnsiTheme="minorHAnsi"/>
          <w:sz w:val="20"/>
          <w:szCs w:val="20"/>
        </w:rPr>
        <w:t>error.</w:t>
      </w:r>
    </w:p>
    <w:p w:rsidR="006C4B37" w:rsidRPr="00933648" w:rsidRDefault="006C4B37" w:rsidP="006C4B37">
      <w:pPr>
        <w:rPr>
          <w:rFonts w:asciiTheme="minorHAnsi" w:hAnsiTheme="minorHAnsi"/>
          <w:sz w:val="20"/>
          <w:szCs w:val="20"/>
        </w:rPr>
      </w:pPr>
    </w:p>
    <w:p w:rsidR="00B61C12" w:rsidRPr="00933648" w:rsidRDefault="006C4B37" w:rsidP="006C4B37">
      <w:pPr>
        <w:rPr>
          <w:rFonts w:asciiTheme="minorHAnsi" w:hAnsiTheme="minorHAnsi"/>
          <w:sz w:val="20"/>
          <w:szCs w:val="20"/>
        </w:rPr>
      </w:pPr>
      <w:r w:rsidRPr="00933648">
        <w:rPr>
          <w:rFonts w:asciiTheme="minorHAnsi" w:hAnsiTheme="minorHAnsi"/>
          <w:sz w:val="20"/>
          <w:szCs w:val="20"/>
        </w:rPr>
        <w:t xml:space="preserve">This FMEA does not detail a complete </w:t>
      </w:r>
      <w:r w:rsidR="00F21B51" w:rsidRPr="00933648">
        <w:rPr>
          <w:rFonts w:asciiTheme="minorHAnsi" w:hAnsiTheme="minorHAnsi"/>
          <w:sz w:val="20"/>
          <w:szCs w:val="20"/>
        </w:rPr>
        <w:t>‘</w:t>
      </w:r>
      <w:r w:rsidRPr="00933648">
        <w:rPr>
          <w:rFonts w:asciiTheme="minorHAnsi" w:hAnsiTheme="minorHAnsi"/>
          <w:sz w:val="20"/>
          <w:szCs w:val="20"/>
        </w:rPr>
        <w:t>perfusion transfusion on CPB P&amp;P</w:t>
      </w:r>
      <w:r w:rsidR="00F21B51" w:rsidRPr="00933648">
        <w:rPr>
          <w:rFonts w:asciiTheme="minorHAnsi" w:hAnsiTheme="minorHAnsi"/>
          <w:sz w:val="20"/>
          <w:szCs w:val="20"/>
        </w:rPr>
        <w:t>’</w:t>
      </w:r>
      <w:r w:rsidRPr="00933648">
        <w:rPr>
          <w:rFonts w:asciiTheme="minorHAnsi" w:hAnsiTheme="minorHAnsi"/>
          <w:sz w:val="20"/>
          <w:szCs w:val="20"/>
        </w:rPr>
        <w:t xml:space="preserve">. These are just the high points so that programs will have some guidelines to take the initiative on their own to write comprehensive perfusion transfusion </w:t>
      </w:r>
      <w:r w:rsidR="00F21B51" w:rsidRPr="00933648">
        <w:rPr>
          <w:rFonts w:asciiTheme="minorHAnsi" w:hAnsiTheme="minorHAnsi"/>
          <w:sz w:val="20"/>
          <w:szCs w:val="20"/>
        </w:rPr>
        <w:t xml:space="preserve">on CPB </w:t>
      </w:r>
      <w:r w:rsidRPr="00933648">
        <w:rPr>
          <w:rFonts w:asciiTheme="minorHAnsi" w:hAnsiTheme="minorHAnsi"/>
          <w:sz w:val="20"/>
          <w:szCs w:val="20"/>
        </w:rPr>
        <w:t xml:space="preserve">P&amp;P. </w:t>
      </w:r>
    </w:p>
    <w:p w:rsidR="006C4B37" w:rsidRPr="00933648" w:rsidRDefault="006C4B37" w:rsidP="006C4B37">
      <w:pPr>
        <w:rPr>
          <w:rFonts w:asciiTheme="minorHAnsi" w:hAnsiTheme="minorHAnsi"/>
          <w:sz w:val="20"/>
          <w:szCs w:val="20"/>
        </w:rPr>
      </w:pPr>
    </w:p>
    <w:p w:rsidR="00A9668C" w:rsidRPr="00933648" w:rsidRDefault="00A9668C" w:rsidP="00A9668C">
      <w:pPr>
        <w:rPr>
          <w:rFonts w:asciiTheme="minorHAnsi" w:hAnsiTheme="minorHAnsi"/>
          <w:sz w:val="20"/>
          <w:szCs w:val="20"/>
        </w:rPr>
      </w:pPr>
      <w:r w:rsidRPr="00933648">
        <w:rPr>
          <w:rFonts w:asciiTheme="minorHAnsi" w:hAnsiTheme="minorHAnsi"/>
          <w:sz w:val="20"/>
          <w:szCs w:val="20"/>
        </w:rPr>
        <w:t>The AmSECT Safety Committee</w:t>
      </w:r>
    </w:p>
    <w:p w:rsidR="00A9668C" w:rsidRPr="00933648" w:rsidRDefault="00A9668C" w:rsidP="00A9668C">
      <w:pPr>
        <w:rPr>
          <w:rFonts w:asciiTheme="minorHAnsi" w:hAnsiTheme="minorHAnsi"/>
          <w:sz w:val="20"/>
          <w:szCs w:val="20"/>
        </w:rPr>
      </w:pPr>
      <w:r w:rsidRPr="00933648">
        <w:rPr>
          <w:rFonts w:asciiTheme="minorHAnsi" w:hAnsiTheme="minorHAnsi"/>
          <w:sz w:val="20"/>
          <w:szCs w:val="20"/>
        </w:rPr>
        <w:t>Contributor: Gary Grist</w:t>
      </w:r>
    </w:p>
    <w:p w:rsidR="00C228F5" w:rsidRPr="00933648" w:rsidRDefault="00C228F5" w:rsidP="00C228F5">
      <w:pPr>
        <w:rPr>
          <w:rFonts w:asciiTheme="minorHAnsi" w:hAnsiTheme="minorHAnsi"/>
          <w:sz w:val="20"/>
          <w:szCs w:val="20"/>
        </w:rPr>
      </w:pPr>
    </w:p>
    <w:p w:rsidR="00CE1DA0" w:rsidRPr="00933648" w:rsidRDefault="00CE1DA0" w:rsidP="00CE1DA0">
      <w:pPr>
        <w:rPr>
          <w:rFonts w:asciiTheme="minorHAnsi" w:hAnsiTheme="minorHAnsi"/>
          <w:sz w:val="20"/>
          <w:szCs w:val="20"/>
        </w:rPr>
      </w:pPr>
      <w:r w:rsidRPr="00933648">
        <w:rPr>
          <w:rFonts w:asciiTheme="minorHAnsi" w:hAnsiTheme="minorHAnsi"/>
          <w:sz w:val="20"/>
          <w:szCs w:val="20"/>
        </w:rPr>
        <w:t>FAILURE: Perfusionist related transfusion error on cardiopulmonary bypass (CPB).</w:t>
      </w:r>
    </w:p>
    <w:p w:rsidR="00CE1DA0" w:rsidRPr="00933648" w:rsidRDefault="00CE1DA0" w:rsidP="00CE1DA0">
      <w:pPr>
        <w:rPr>
          <w:rFonts w:asciiTheme="minorHAnsi" w:hAnsiTheme="minorHAnsi"/>
          <w:sz w:val="20"/>
          <w:szCs w:val="20"/>
        </w:rPr>
      </w:pPr>
    </w:p>
    <w:p w:rsidR="00CE1DA0" w:rsidRPr="00933648" w:rsidRDefault="00CE1DA0" w:rsidP="00CE1DA0">
      <w:pPr>
        <w:rPr>
          <w:rFonts w:asciiTheme="minorHAnsi" w:hAnsiTheme="minorHAnsi"/>
          <w:sz w:val="20"/>
          <w:szCs w:val="20"/>
        </w:rPr>
      </w:pPr>
      <w:r w:rsidRPr="00933648">
        <w:rPr>
          <w:rFonts w:asciiTheme="minorHAnsi" w:hAnsiTheme="minorHAnsi"/>
          <w:sz w:val="20"/>
          <w:szCs w:val="20"/>
        </w:rPr>
        <w:t>EFFECT: (not necessarily in order of importance).</w:t>
      </w:r>
    </w:p>
    <w:p w:rsidR="00CE1DA0" w:rsidRPr="00933648" w:rsidRDefault="00CE1DA0" w:rsidP="00CE1DA0">
      <w:pPr>
        <w:pStyle w:val="ListParagraph"/>
        <w:numPr>
          <w:ilvl w:val="0"/>
          <w:numId w:val="6"/>
        </w:numPr>
        <w:ind w:left="0" w:firstLine="0"/>
        <w:rPr>
          <w:rFonts w:asciiTheme="minorHAnsi" w:hAnsiTheme="minorHAnsi"/>
          <w:sz w:val="20"/>
          <w:szCs w:val="20"/>
        </w:rPr>
      </w:pPr>
      <w:r w:rsidRPr="00933648">
        <w:rPr>
          <w:rFonts w:asciiTheme="minorHAnsi" w:hAnsiTheme="minorHAnsi"/>
          <w:sz w:val="20"/>
          <w:szCs w:val="20"/>
        </w:rPr>
        <w:t xml:space="preserve"> An error triggers an incident report and possible sentinel event (SE) review.</w:t>
      </w:r>
    </w:p>
    <w:p w:rsidR="00CE1DA0" w:rsidRPr="00933648" w:rsidRDefault="00CE1DA0" w:rsidP="00CE1DA0">
      <w:pPr>
        <w:pStyle w:val="ListParagraph"/>
        <w:numPr>
          <w:ilvl w:val="0"/>
          <w:numId w:val="6"/>
        </w:numPr>
        <w:ind w:left="0" w:firstLine="0"/>
        <w:rPr>
          <w:rFonts w:asciiTheme="minorHAnsi" w:hAnsiTheme="minorHAnsi"/>
          <w:sz w:val="20"/>
          <w:szCs w:val="20"/>
        </w:rPr>
      </w:pPr>
      <w:r w:rsidRPr="00933648">
        <w:rPr>
          <w:rFonts w:asciiTheme="minorHAnsi" w:hAnsiTheme="minorHAnsi"/>
          <w:sz w:val="20"/>
          <w:szCs w:val="20"/>
        </w:rPr>
        <w:t>An SE triggers a root cause analysis, a Joint Commission citation, a review of perfusion practices by internal and outside assessors, and potentially a significant monetary penalty.</w:t>
      </w:r>
    </w:p>
    <w:p w:rsidR="00CE1DA0" w:rsidRPr="00933648" w:rsidRDefault="00CE1DA0" w:rsidP="00CE1DA0">
      <w:pPr>
        <w:pStyle w:val="ListParagraph"/>
        <w:numPr>
          <w:ilvl w:val="0"/>
          <w:numId w:val="6"/>
        </w:numPr>
        <w:ind w:left="0" w:firstLine="0"/>
        <w:rPr>
          <w:rFonts w:asciiTheme="minorHAnsi" w:hAnsiTheme="minorHAnsi"/>
          <w:sz w:val="20"/>
          <w:szCs w:val="20"/>
        </w:rPr>
      </w:pPr>
      <w:r w:rsidRPr="00933648">
        <w:rPr>
          <w:rFonts w:asciiTheme="minorHAnsi" w:hAnsiTheme="minorHAnsi"/>
          <w:sz w:val="20"/>
          <w:szCs w:val="20"/>
        </w:rPr>
        <w:t>An error may trigger an indefensible civil law suite with significant monetary damages.</w:t>
      </w:r>
    </w:p>
    <w:p w:rsidR="00CE1DA0" w:rsidRPr="00933648" w:rsidRDefault="00CE1DA0" w:rsidP="00CE1DA0">
      <w:pPr>
        <w:pStyle w:val="ListParagraph"/>
        <w:numPr>
          <w:ilvl w:val="0"/>
          <w:numId w:val="6"/>
        </w:numPr>
        <w:ind w:left="0" w:firstLine="0"/>
        <w:rPr>
          <w:rFonts w:asciiTheme="minorHAnsi" w:hAnsiTheme="minorHAnsi"/>
          <w:sz w:val="20"/>
          <w:szCs w:val="20"/>
        </w:rPr>
      </w:pPr>
      <w:r w:rsidRPr="00933648">
        <w:rPr>
          <w:rFonts w:asciiTheme="minorHAnsi" w:hAnsiTheme="minorHAnsi"/>
          <w:sz w:val="20"/>
          <w:szCs w:val="20"/>
        </w:rPr>
        <w:t>An error may cause a transfusion reaction: non-hemolytic or hemolytic</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hemoglobinuria</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DIC</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↓BP</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↑HR</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bronchospasm</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erythema</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lastRenderedPageBreak/>
        <w:t>urticaria</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fever</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angioedema</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bronchospasm</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pulmonary edema</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shock</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 xml:space="preserve">anaphylaxis </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organ failure</w:t>
      </w:r>
    </w:p>
    <w:p w:rsidR="00CE1DA0" w:rsidRPr="00933648" w:rsidRDefault="00CE1DA0" w:rsidP="00CE1DA0">
      <w:pPr>
        <w:pStyle w:val="ListParagraph"/>
        <w:numPr>
          <w:ilvl w:val="0"/>
          <w:numId w:val="7"/>
        </w:numPr>
        <w:ind w:left="0" w:firstLine="0"/>
        <w:rPr>
          <w:rFonts w:asciiTheme="minorHAnsi" w:hAnsiTheme="minorHAnsi"/>
          <w:sz w:val="20"/>
          <w:szCs w:val="20"/>
        </w:rPr>
      </w:pPr>
      <w:r w:rsidRPr="00933648">
        <w:rPr>
          <w:rFonts w:asciiTheme="minorHAnsi" w:hAnsiTheme="minorHAnsi"/>
          <w:sz w:val="20"/>
          <w:szCs w:val="20"/>
        </w:rPr>
        <w:t>death</w:t>
      </w:r>
    </w:p>
    <w:p w:rsidR="00CE1DA0" w:rsidRPr="00933648" w:rsidRDefault="00CE1DA0" w:rsidP="00CE1DA0">
      <w:pPr>
        <w:rPr>
          <w:rFonts w:asciiTheme="minorHAnsi" w:hAnsiTheme="minorHAnsi"/>
          <w:sz w:val="20"/>
          <w:szCs w:val="20"/>
        </w:rPr>
      </w:pPr>
    </w:p>
    <w:p w:rsidR="00CE1DA0" w:rsidRPr="00933648" w:rsidRDefault="00CE1DA0" w:rsidP="00CE1DA0">
      <w:pPr>
        <w:rPr>
          <w:rFonts w:asciiTheme="minorHAnsi" w:hAnsiTheme="minorHAnsi"/>
          <w:sz w:val="20"/>
          <w:szCs w:val="20"/>
        </w:rPr>
      </w:pPr>
      <w:r w:rsidRPr="00933648">
        <w:rPr>
          <w:rFonts w:asciiTheme="minorHAnsi" w:hAnsiTheme="minorHAnsi"/>
          <w:sz w:val="20"/>
          <w:szCs w:val="20"/>
        </w:rPr>
        <w:t>CAUSE:</w:t>
      </w:r>
    </w:p>
    <w:p w:rsidR="00CE1DA0" w:rsidRPr="00933648" w:rsidRDefault="00CE1DA0" w:rsidP="00CE1DA0">
      <w:pPr>
        <w:pStyle w:val="ListParagraph"/>
        <w:numPr>
          <w:ilvl w:val="0"/>
          <w:numId w:val="8"/>
        </w:numPr>
        <w:ind w:left="0" w:firstLine="0"/>
        <w:rPr>
          <w:rFonts w:asciiTheme="minorHAnsi" w:hAnsiTheme="minorHAnsi"/>
          <w:sz w:val="20"/>
          <w:szCs w:val="20"/>
        </w:rPr>
      </w:pPr>
      <w:r w:rsidRPr="00933648">
        <w:rPr>
          <w:rFonts w:asciiTheme="minorHAnsi" w:hAnsiTheme="minorHAnsi"/>
          <w:sz w:val="20"/>
          <w:szCs w:val="20"/>
        </w:rPr>
        <w:t>Human error.</w:t>
      </w:r>
    </w:p>
    <w:p w:rsidR="00CE1DA0" w:rsidRPr="00933648" w:rsidRDefault="00CE1DA0" w:rsidP="00CE1DA0">
      <w:pPr>
        <w:pStyle w:val="ListParagraph"/>
        <w:numPr>
          <w:ilvl w:val="0"/>
          <w:numId w:val="8"/>
        </w:numPr>
        <w:ind w:left="0" w:firstLine="0"/>
        <w:rPr>
          <w:rFonts w:asciiTheme="minorHAnsi" w:hAnsiTheme="minorHAnsi"/>
          <w:sz w:val="20"/>
          <w:szCs w:val="20"/>
        </w:rPr>
      </w:pPr>
      <w:r w:rsidRPr="00933648">
        <w:rPr>
          <w:rFonts w:asciiTheme="minorHAnsi" w:hAnsiTheme="minorHAnsi"/>
          <w:sz w:val="20"/>
          <w:szCs w:val="20"/>
        </w:rPr>
        <w:t>Failure to follow approved hospital transfusion policy and procedure (P&amp;P).</w:t>
      </w:r>
    </w:p>
    <w:p w:rsidR="00CE1DA0" w:rsidRPr="00933648" w:rsidRDefault="00CE1DA0" w:rsidP="00CE1DA0">
      <w:pPr>
        <w:pStyle w:val="ListParagraph"/>
        <w:numPr>
          <w:ilvl w:val="0"/>
          <w:numId w:val="8"/>
        </w:numPr>
        <w:ind w:left="0" w:firstLine="0"/>
        <w:rPr>
          <w:rFonts w:asciiTheme="minorHAnsi" w:hAnsiTheme="minorHAnsi"/>
          <w:sz w:val="20"/>
          <w:szCs w:val="20"/>
        </w:rPr>
      </w:pPr>
      <w:r w:rsidRPr="00933648">
        <w:rPr>
          <w:rFonts w:asciiTheme="minorHAnsi" w:hAnsiTheme="minorHAnsi"/>
          <w:sz w:val="20"/>
          <w:szCs w:val="20"/>
        </w:rPr>
        <w:t>Approved hospital or blood bank P&amp;P not suitable for transfusion procedure on CPB.</w:t>
      </w:r>
    </w:p>
    <w:p w:rsidR="00CE1DA0" w:rsidRPr="00933648" w:rsidRDefault="00CE1DA0" w:rsidP="00CE1DA0">
      <w:pPr>
        <w:pStyle w:val="ListParagraph"/>
        <w:numPr>
          <w:ilvl w:val="0"/>
          <w:numId w:val="8"/>
        </w:numPr>
        <w:ind w:left="0" w:firstLine="0"/>
        <w:rPr>
          <w:rFonts w:asciiTheme="minorHAnsi" w:hAnsiTheme="minorHAnsi"/>
          <w:sz w:val="20"/>
          <w:szCs w:val="20"/>
        </w:rPr>
      </w:pPr>
      <w:r w:rsidRPr="00933648">
        <w:rPr>
          <w:rFonts w:asciiTheme="minorHAnsi" w:hAnsiTheme="minorHAnsi"/>
          <w:sz w:val="20"/>
          <w:szCs w:val="20"/>
        </w:rPr>
        <w:t xml:space="preserve"> An incompatible blood transfusion leads to a potentially massive activation of the immune and clotting systems causing shock, kidney failure, circulatory collapse, and death.</w:t>
      </w:r>
    </w:p>
    <w:p w:rsidR="00CE1DA0" w:rsidRPr="00933648" w:rsidRDefault="00CE1DA0" w:rsidP="00CE1DA0">
      <w:pPr>
        <w:pStyle w:val="ListParagraph"/>
        <w:numPr>
          <w:ilvl w:val="0"/>
          <w:numId w:val="8"/>
        </w:numPr>
        <w:ind w:left="0" w:firstLine="0"/>
        <w:rPr>
          <w:rFonts w:asciiTheme="minorHAnsi" w:hAnsiTheme="minorHAnsi"/>
          <w:sz w:val="20"/>
          <w:szCs w:val="20"/>
        </w:rPr>
      </w:pPr>
      <w:r w:rsidRPr="00933648">
        <w:rPr>
          <w:rFonts w:asciiTheme="minorHAnsi" w:hAnsiTheme="minorHAnsi"/>
          <w:sz w:val="20"/>
          <w:szCs w:val="20"/>
        </w:rPr>
        <w:t>Idiopathic transfusion reaction of unknown cause.</w:t>
      </w:r>
    </w:p>
    <w:p w:rsidR="00CE1DA0" w:rsidRPr="00933648" w:rsidRDefault="00CE1DA0" w:rsidP="00CE1DA0">
      <w:pPr>
        <w:rPr>
          <w:rFonts w:asciiTheme="minorHAnsi" w:hAnsiTheme="minorHAnsi"/>
          <w:sz w:val="20"/>
          <w:szCs w:val="20"/>
        </w:rPr>
      </w:pPr>
    </w:p>
    <w:p w:rsidR="00CE1DA0" w:rsidRPr="00933648" w:rsidRDefault="00CE1DA0" w:rsidP="00CE1DA0">
      <w:pPr>
        <w:ind w:left="14" w:hanging="14"/>
        <w:rPr>
          <w:rFonts w:asciiTheme="minorHAnsi" w:hAnsiTheme="minorHAnsi"/>
          <w:sz w:val="20"/>
          <w:szCs w:val="20"/>
        </w:rPr>
      </w:pPr>
      <w:r w:rsidRPr="00933648">
        <w:rPr>
          <w:rFonts w:asciiTheme="minorHAnsi" w:hAnsiTheme="minorHAnsi"/>
          <w:sz w:val="20"/>
          <w:szCs w:val="20"/>
        </w:rPr>
        <w:t>PRE-EMPTIVE MANAGEMENT:</w:t>
      </w:r>
    </w:p>
    <w:p w:rsidR="00CE1DA0" w:rsidRPr="00933648" w:rsidRDefault="00CE1DA0" w:rsidP="00CE1DA0">
      <w:pPr>
        <w:pStyle w:val="ListParagraph"/>
        <w:numPr>
          <w:ilvl w:val="0"/>
          <w:numId w:val="9"/>
        </w:numPr>
        <w:ind w:left="14" w:hanging="14"/>
        <w:rPr>
          <w:rFonts w:asciiTheme="minorHAnsi" w:hAnsiTheme="minorHAnsi"/>
          <w:sz w:val="20"/>
          <w:szCs w:val="20"/>
        </w:rPr>
      </w:pPr>
      <w:r w:rsidRPr="00933648">
        <w:rPr>
          <w:rFonts w:asciiTheme="minorHAnsi" w:hAnsiTheme="minorHAnsi"/>
          <w:sz w:val="20"/>
          <w:szCs w:val="20"/>
        </w:rPr>
        <w:t>Develop specific P&amp;P for transfusion during CPB approved by blood bank medical director or equivalent.</w:t>
      </w:r>
    </w:p>
    <w:p w:rsidR="00CE1DA0" w:rsidRPr="00933648" w:rsidRDefault="00CE1DA0" w:rsidP="00CE1DA0">
      <w:pPr>
        <w:pStyle w:val="ListParagraph"/>
        <w:numPr>
          <w:ilvl w:val="0"/>
          <w:numId w:val="9"/>
        </w:numPr>
        <w:ind w:left="14" w:hanging="14"/>
        <w:rPr>
          <w:rFonts w:asciiTheme="minorHAnsi" w:hAnsiTheme="minorHAnsi"/>
          <w:sz w:val="20"/>
          <w:szCs w:val="20"/>
        </w:rPr>
      </w:pPr>
      <w:r w:rsidRPr="00933648">
        <w:rPr>
          <w:rFonts w:asciiTheme="minorHAnsi" w:hAnsiTheme="minorHAnsi"/>
          <w:sz w:val="20"/>
          <w:szCs w:val="20"/>
        </w:rPr>
        <w:t>Stipulate acceptable variations from general AABB approved transfusion P&amp;P in the perfusion transfusion P&amp;P; key points source*.</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Ensure</w:t>
      </w:r>
      <w:r w:rsidR="00C159C1">
        <w:rPr>
          <w:rFonts w:asciiTheme="minorHAnsi" w:hAnsiTheme="minorHAnsi"/>
          <w:sz w:val="20"/>
          <w:szCs w:val="20"/>
        </w:rPr>
        <w:t xml:space="preserve"> the</w:t>
      </w:r>
      <w:r w:rsidRPr="00933648">
        <w:rPr>
          <w:rFonts w:asciiTheme="minorHAnsi" w:hAnsiTheme="minorHAnsi"/>
          <w:sz w:val="20"/>
          <w:szCs w:val="20"/>
        </w:rPr>
        <w:t xml:space="preserve"> proper consent </w:t>
      </w:r>
      <w:r w:rsidR="00C159C1">
        <w:rPr>
          <w:rFonts w:asciiTheme="minorHAnsi" w:hAnsiTheme="minorHAnsi"/>
          <w:sz w:val="20"/>
          <w:szCs w:val="20"/>
        </w:rPr>
        <w:t xml:space="preserve">is </w:t>
      </w:r>
      <w:r w:rsidRPr="00933648">
        <w:rPr>
          <w:rFonts w:asciiTheme="minorHAnsi" w:hAnsiTheme="minorHAnsi"/>
          <w:sz w:val="20"/>
          <w:szCs w:val="20"/>
        </w:rPr>
        <w:t>obtained.</w:t>
      </w:r>
    </w:p>
    <w:p w:rsidR="00CE1DA0" w:rsidRPr="00933648" w:rsidRDefault="00C159C1" w:rsidP="00CE1DA0">
      <w:pPr>
        <w:pStyle w:val="ListParagraph"/>
        <w:numPr>
          <w:ilvl w:val="0"/>
          <w:numId w:val="10"/>
        </w:numPr>
        <w:ind w:left="14" w:hanging="14"/>
        <w:rPr>
          <w:rFonts w:asciiTheme="minorHAnsi" w:hAnsiTheme="minorHAnsi"/>
          <w:sz w:val="20"/>
          <w:szCs w:val="20"/>
        </w:rPr>
      </w:pPr>
      <w:r>
        <w:rPr>
          <w:rFonts w:asciiTheme="minorHAnsi" w:hAnsiTheme="minorHAnsi"/>
          <w:sz w:val="20"/>
          <w:szCs w:val="20"/>
        </w:rPr>
        <w:t>Ensure the c</w:t>
      </w:r>
      <w:r w:rsidR="00CE1DA0" w:rsidRPr="00933648">
        <w:rPr>
          <w:rFonts w:asciiTheme="minorHAnsi" w:hAnsiTheme="minorHAnsi"/>
          <w:sz w:val="20"/>
          <w:szCs w:val="20"/>
        </w:rPr>
        <w:t xml:space="preserve">linical indication </w:t>
      </w:r>
      <w:r>
        <w:rPr>
          <w:rFonts w:asciiTheme="minorHAnsi" w:hAnsiTheme="minorHAnsi"/>
          <w:sz w:val="20"/>
          <w:szCs w:val="20"/>
        </w:rPr>
        <w:t xml:space="preserve">is </w:t>
      </w:r>
      <w:r w:rsidR="00CE1DA0" w:rsidRPr="00933648">
        <w:rPr>
          <w:rFonts w:asciiTheme="minorHAnsi" w:hAnsiTheme="minorHAnsi"/>
          <w:sz w:val="20"/>
          <w:szCs w:val="20"/>
        </w:rPr>
        <w:t>documented</w:t>
      </w:r>
      <w:r>
        <w:rPr>
          <w:rFonts w:asciiTheme="minorHAnsi" w:hAnsiTheme="minorHAnsi"/>
          <w:sz w:val="20"/>
          <w:szCs w:val="20"/>
        </w:rPr>
        <w:t>.</w:t>
      </w:r>
    </w:p>
    <w:p w:rsidR="00CE1DA0" w:rsidRPr="00933648" w:rsidRDefault="00C159C1" w:rsidP="00CE1DA0">
      <w:pPr>
        <w:pStyle w:val="ListParagraph"/>
        <w:numPr>
          <w:ilvl w:val="0"/>
          <w:numId w:val="10"/>
        </w:numPr>
        <w:ind w:left="14" w:hanging="14"/>
        <w:rPr>
          <w:rFonts w:asciiTheme="minorHAnsi" w:hAnsiTheme="minorHAnsi"/>
          <w:sz w:val="20"/>
          <w:szCs w:val="20"/>
        </w:rPr>
      </w:pPr>
      <w:r>
        <w:rPr>
          <w:rFonts w:asciiTheme="minorHAnsi" w:hAnsiTheme="minorHAnsi"/>
          <w:sz w:val="20"/>
          <w:szCs w:val="20"/>
        </w:rPr>
        <w:t xml:space="preserve">  </w:t>
      </w:r>
      <w:r w:rsidR="00CE1DA0" w:rsidRPr="00933648">
        <w:rPr>
          <w:rFonts w:asciiTheme="minorHAnsi" w:hAnsiTheme="minorHAnsi"/>
          <w:sz w:val="20"/>
          <w:szCs w:val="20"/>
        </w:rPr>
        <w:t xml:space="preserve">Filter type </w:t>
      </w:r>
      <w:r>
        <w:rPr>
          <w:rFonts w:asciiTheme="minorHAnsi" w:hAnsiTheme="minorHAnsi"/>
          <w:sz w:val="20"/>
          <w:szCs w:val="20"/>
        </w:rPr>
        <w:t xml:space="preserve">in P&amp;P. </w:t>
      </w:r>
      <w:r w:rsidR="00CE1DA0" w:rsidRPr="00933648">
        <w:rPr>
          <w:rFonts w:asciiTheme="minorHAnsi" w:hAnsiTheme="minorHAnsi"/>
          <w:sz w:val="20"/>
          <w:szCs w:val="20"/>
        </w:rPr>
        <w:t>(Pall, cardiotomy, etc.).</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Speed of transfusion.</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Transfusion line rinse fluid type (Plasmalyte, Normosol, LR, NS, etc).</w:t>
      </w:r>
    </w:p>
    <w:p w:rsidR="00CE1DA0" w:rsidRPr="00933648" w:rsidRDefault="00C159C1" w:rsidP="00CE1DA0">
      <w:pPr>
        <w:pStyle w:val="ListParagraph"/>
        <w:numPr>
          <w:ilvl w:val="0"/>
          <w:numId w:val="10"/>
        </w:numPr>
        <w:ind w:left="14" w:hanging="14"/>
        <w:rPr>
          <w:rFonts w:asciiTheme="minorHAnsi" w:hAnsiTheme="minorHAnsi"/>
          <w:sz w:val="20"/>
          <w:szCs w:val="20"/>
        </w:rPr>
      </w:pPr>
      <w:r>
        <w:rPr>
          <w:rFonts w:asciiTheme="minorHAnsi" w:hAnsiTheme="minorHAnsi"/>
          <w:sz w:val="20"/>
          <w:szCs w:val="20"/>
        </w:rPr>
        <w:t xml:space="preserve"> </w:t>
      </w:r>
      <w:r w:rsidR="00CE1DA0" w:rsidRPr="00933648">
        <w:rPr>
          <w:rFonts w:asciiTheme="minorHAnsi" w:hAnsiTheme="minorHAnsi"/>
          <w:sz w:val="20"/>
          <w:szCs w:val="20"/>
        </w:rPr>
        <w:t>Confirm physician’s order, product and recipient</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Policy requires double verification of patient identification and product labeling prior to transfusion and confirms that a perfusionist can verify blood products.</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 xml:space="preserve"> Provide correct storage of blood product in OR before use.</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Vitals monitored and documented by perfusion staff on perfusion record.</w:t>
      </w:r>
    </w:p>
    <w:p w:rsidR="00CE1DA0" w:rsidRPr="00933648" w:rsidRDefault="00CE1DA0" w:rsidP="00CE1DA0">
      <w:pPr>
        <w:pStyle w:val="ListParagraph"/>
        <w:numPr>
          <w:ilvl w:val="0"/>
          <w:numId w:val="10"/>
        </w:numPr>
        <w:ind w:left="14" w:hanging="14"/>
        <w:rPr>
          <w:rFonts w:asciiTheme="minorHAnsi" w:hAnsiTheme="minorHAnsi"/>
          <w:sz w:val="20"/>
          <w:szCs w:val="20"/>
        </w:rPr>
      </w:pPr>
      <w:r w:rsidRPr="00933648">
        <w:rPr>
          <w:rFonts w:asciiTheme="minorHAnsi" w:hAnsiTheme="minorHAnsi"/>
          <w:sz w:val="20"/>
          <w:szCs w:val="20"/>
        </w:rPr>
        <w:t>Completed transfusion documented on perfusion record.</w:t>
      </w:r>
    </w:p>
    <w:p w:rsidR="00CE1DA0" w:rsidRPr="00933648" w:rsidRDefault="00CE1DA0" w:rsidP="00CE1DA0">
      <w:pPr>
        <w:ind w:left="14" w:hanging="14"/>
        <w:rPr>
          <w:rFonts w:asciiTheme="minorHAnsi" w:hAnsiTheme="minorHAnsi"/>
          <w:sz w:val="20"/>
          <w:szCs w:val="20"/>
        </w:rPr>
      </w:pPr>
    </w:p>
    <w:p w:rsidR="00CE1DA0" w:rsidRPr="00933648" w:rsidRDefault="00CE1DA0" w:rsidP="00CE1DA0">
      <w:pPr>
        <w:ind w:left="14" w:hanging="14"/>
        <w:rPr>
          <w:rFonts w:asciiTheme="minorHAnsi" w:hAnsiTheme="minorHAnsi"/>
          <w:sz w:val="20"/>
          <w:szCs w:val="20"/>
        </w:rPr>
      </w:pPr>
      <w:r w:rsidRPr="00933648">
        <w:rPr>
          <w:rFonts w:asciiTheme="minorHAnsi" w:hAnsiTheme="minorHAnsi"/>
          <w:sz w:val="20"/>
          <w:szCs w:val="20"/>
        </w:rPr>
        <w:t>MANAGEMENT:</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Call for help if transfusion reaction is suspected.</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Stop transfusion.</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Disconnect donor product and IV tubing.</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Examine blood product ID and determine if correct patient.</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Send remaining product to blood bank.</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Document incident per institutional policy</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Maintain intravascular volume.</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Maintain urine output at least 1-2 mL/kg/h.</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Prepare for cardiovascular instability: extracorporeal support.</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Send patient blood and urine sample to laboratory.</w:t>
      </w:r>
    </w:p>
    <w:p w:rsidR="00CE1DA0" w:rsidRPr="00933648" w:rsidRDefault="00CE1DA0" w:rsidP="00CE1DA0">
      <w:pPr>
        <w:pStyle w:val="ListParagraph"/>
        <w:numPr>
          <w:ilvl w:val="0"/>
          <w:numId w:val="11"/>
        </w:numPr>
        <w:ind w:left="14" w:hanging="14"/>
        <w:rPr>
          <w:rFonts w:asciiTheme="minorHAnsi" w:hAnsiTheme="minorHAnsi"/>
          <w:sz w:val="20"/>
          <w:szCs w:val="20"/>
        </w:rPr>
      </w:pPr>
      <w:r w:rsidRPr="00933648">
        <w:rPr>
          <w:rFonts w:asciiTheme="minorHAnsi" w:hAnsiTheme="minorHAnsi"/>
          <w:sz w:val="20"/>
          <w:szCs w:val="20"/>
        </w:rPr>
        <w:t>Consider the following medications:</w:t>
      </w:r>
    </w:p>
    <w:p w:rsidR="00CE1DA0" w:rsidRPr="00933648" w:rsidRDefault="00CE1DA0" w:rsidP="00CE1DA0">
      <w:pPr>
        <w:pStyle w:val="ListParagraph"/>
        <w:numPr>
          <w:ilvl w:val="0"/>
          <w:numId w:val="12"/>
        </w:numPr>
        <w:ind w:left="14" w:hanging="14"/>
        <w:rPr>
          <w:rFonts w:asciiTheme="minorHAnsi" w:hAnsiTheme="minorHAnsi"/>
          <w:sz w:val="20"/>
          <w:szCs w:val="20"/>
        </w:rPr>
      </w:pPr>
      <w:r w:rsidRPr="00933648">
        <w:rPr>
          <w:rFonts w:asciiTheme="minorHAnsi" w:hAnsiTheme="minorHAnsi"/>
          <w:sz w:val="20"/>
          <w:szCs w:val="20"/>
        </w:rPr>
        <w:t>Furosemide 0.1 mg/kg</w:t>
      </w:r>
    </w:p>
    <w:p w:rsidR="00CE1DA0" w:rsidRPr="00933648" w:rsidRDefault="00CE1DA0" w:rsidP="00CE1DA0">
      <w:pPr>
        <w:pStyle w:val="ListParagraph"/>
        <w:numPr>
          <w:ilvl w:val="0"/>
          <w:numId w:val="12"/>
        </w:numPr>
        <w:ind w:left="14" w:hanging="14"/>
        <w:rPr>
          <w:rFonts w:asciiTheme="minorHAnsi" w:hAnsiTheme="minorHAnsi"/>
          <w:sz w:val="20"/>
          <w:szCs w:val="20"/>
        </w:rPr>
      </w:pPr>
      <w:r w:rsidRPr="00933648">
        <w:rPr>
          <w:rFonts w:asciiTheme="minorHAnsi" w:hAnsiTheme="minorHAnsi"/>
          <w:sz w:val="20"/>
          <w:szCs w:val="20"/>
        </w:rPr>
        <w:t>Mannitol 0.5 grams/kg (2 mL/kg of 25% mannitol)</w:t>
      </w:r>
    </w:p>
    <w:p w:rsidR="00CE1DA0" w:rsidRPr="00933648" w:rsidRDefault="00C159C1" w:rsidP="00CE1DA0">
      <w:pPr>
        <w:pStyle w:val="ListParagraph"/>
        <w:numPr>
          <w:ilvl w:val="0"/>
          <w:numId w:val="12"/>
        </w:numPr>
        <w:ind w:left="14" w:hanging="14"/>
        <w:rPr>
          <w:rFonts w:asciiTheme="minorHAnsi" w:hAnsiTheme="minorHAnsi"/>
          <w:sz w:val="20"/>
          <w:szCs w:val="20"/>
        </w:rPr>
      </w:pPr>
      <w:r>
        <w:rPr>
          <w:rFonts w:asciiTheme="minorHAnsi" w:hAnsiTheme="minorHAnsi"/>
          <w:sz w:val="20"/>
          <w:szCs w:val="20"/>
        </w:rPr>
        <w:t xml:space="preserve"> </w:t>
      </w:r>
      <w:r w:rsidR="00CE1DA0" w:rsidRPr="00933648">
        <w:rPr>
          <w:rFonts w:asciiTheme="minorHAnsi" w:hAnsiTheme="minorHAnsi"/>
          <w:sz w:val="20"/>
          <w:szCs w:val="20"/>
        </w:rPr>
        <w:t>Dopamine (2-4 mcg/kg/min)</w:t>
      </w:r>
    </w:p>
    <w:p w:rsidR="00CE1DA0" w:rsidRPr="00933648" w:rsidRDefault="00CE1DA0" w:rsidP="00CE1DA0">
      <w:pPr>
        <w:pStyle w:val="ListParagraph"/>
        <w:numPr>
          <w:ilvl w:val="0"/>
          <w:numId w:val="12"/>
        </w:numPr>
        <w:ind w:left="14" w:hanging="14"/>
        <w:rPr>
          <w:rFonts w:asciiTheme="minorHAnsi" w:hAnsiTheme="minorHAnsi"/>
          <w:sz w:val="20"/>
          <w:szCs w:val="20"/>
        </w:rPr>
      </w:pPr>
      <w:r w:rsidRPr="00933648">
        <w:rPr>
          <w:rFonts w:asciiTheme="minorHAnsi" w:hAnsiTheme="minorHAnsi"/>
          <w:sz w:val="20"/>
          <w:szCs w:val="20"/>
        </w:rPr>
        <w:t>Epinephrine 10 mcg/kg IV</w:t>
      </w:r>
    </w:p>
    <w:p w:rsidR="00CE1DA0" w:rsidRPr="00933648" w:rsidRDefault="00CE1DA0" w:rsidP="00CE1DA0">
      <w:pPr>
        <w:pStyle w:val="ListParagraph"/>
        <w:numPr>
          <w:ilvl w:val="0"/>
          <w:numId w:val="12"/>
        </w:numPr>
        <w:ind w:left="14" w:hanging="14"/>
        <w:rPr>
          <w:rFonts w:asciiTheme="minorHAnsi" w:hAnsiTheme="minorHAnsi"/>
          <w:sz w:val="20"/>
          <w:szCs w:val="20"/>
        </w:rPr>
      </w:pPr>
      <w:r w:rsidRPr="00933648">
        <w:rPr>
          <w:rFonts w:asciiTheme="minorHAnsi" w:hAnsiTheme="minorHAnsi"/>
          <w:sz w:val="20"/>
          <w:szCs w:val="20"/>
        </w:rPr>
        <w:t>Diphenhydramine 1 mg/kg IV</w:t>
      </w:r>
    </w:p>
    <w:p w:rsidR="00CE1DA0" w:rsidRPr="00933648" w:rsidRDefault="00CE1DA0" w:rsidP="00CE1DA0">
      <w:pPr>
        <w:pStyle w:val="ListParagraph"/>
        <w:numPr>
          <w:ilvl w:val="0"/>
          <w:numId w:val="12"/>
        </w:numPr>
        <w:ind w:left="14" w:hanging="14"/>
        <w:rPr>
          <w:rFonts w:asciiTheme="minorHAnsi" w:hAnsiTheme="minorHAnsi"/>
          <w:sz w:val="20"/>
          <w:szCs w:val="20"/>
        </w:rPr>
      </w:pPr>
      <w:r w:rsidRPr="00933648">
        <w:rPr>
          <w:rFonts w:asciiTheme="minorHAnsi" w:hAnsiTheme="minorHAnsi"/>
          <w:sz w:val="20"/>
          <w:szCs w:val="20"/>
        </w:rPr>
        <w:t>Hydrocortisone 2-5 mg/kg</w:t>
      </w:r>
    </w:p>
    <w:p w:rsidR="00CE1DA0" w:rsidRPr="00933648" w:rsidRDefault="00CE1DA0" w:rsidP="00CE1DA0">
      <w:pPr>
        <w:pStyle w:val="ListParagraph"/>
        <w:ind w:left="14" w:hanging="14"/>
        <w:rPr>
          <w:rFonts w:asciiTheme="minorHAnsi" w:hAnsiTheme="minorHAnsi"/>
          <w:sz w:val="20"/>
          <w:szCs w:val="20"/>
        </w:rPr>
      </w:pPr>
      <w:r w:rsidRPr="00933648">
        <w:rPr>
          <w:rFonts w:asciiTheme="minorHAnsi" w:hAnsiTheme="minorHAnsi"/>
          <w:sz w:val="20"/>
          <w:szCs w:val="20"/>
        </w:rPr>
        <w:t>*http://www.jointcommission.org/assets/1/6/PBM_Implementation_Guide_20110624.pdf</w:t>
      </w:r>
    </w:p>
    <w:p w:rsidR="00CE1DA0" w:rsidRPr="00933648" w:rsidRDefault="00CE1DA0" w:rsidP="00C228F5">
      <w:pPr>
        <w:rPr>
          <w:rFonts w:asciiTheme="minorHAnsi" w:hAnsiTheme="minorHAnsi"/>
          <w:sz w:val="20"/>
          <w:szCs w:val="20"/>
        </w:rPr>
      </w:pP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 xml:space="preserve">RISK PRIORITY NUMBER (RPN): </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A. Severity (Harmfulness) Rating Scale: how detrimental can the failure be:</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1) Slight, 2) Low, 3) Moderate, 4) High, 5) Critical</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(The problems that this failure</w:t>
      </w:r>
      <w:r w:rsidR="00CE1DA0" w:rsidRPr="00933648">
        <w:rPr>
          <w:rFonts w:asciiTheme="minorHAnsi" w:hAnsiTheme="minorHAnsi"/>
          <w:sz w:val="20"/>
          <w:szCs w:val="20"/>
        </w:rPr>
        <w:t xml:space="preserve"> causes are usually 5</w:t>
      </w:r>
      <w:r w:rsidRPr="00933648">
        <w:rPr>
          <w:rFonts w:asciiTheme="minorHAnsi" w:hAnsiTheme="minorHAnsi"/>
          <w:sz w:val="20"/>
          <w:szCs w:val="20"/>
        </w:rPr>
        <w:t xml:space="preserve">, </w:t>
      </w:r>
      <w:r w:rsidR="00CE1DA0" w:rsidRPr="00933648">
        <w:rPr>
          <w:rFonts w:asciiTheme="minorHAnsi" w:hAnsiTheme="minorHAnsi"/>
          <w:sz w:val="20"/>
          <w:szCs w:val="20"/>
        </w:rPr>
        <w:t>critical</w:t>
      </w:r>
      <w:r w:rsidRPr="00933648">
        <w:rPr>
          <w:rFonts w:asciiTheme="minorHAnsi" w:hAnsiTheme="minorHAnsi"/>
          <w:sz w:val="20"/>
          <w:szCs w:val="20"/>
        </w:rPr>
        <w:t>.)</w:t>
      </w:r>
    </w:p>
    <w:p w:rsidR="001311C0" w:rsidRPr="00933648" w:rsidRDefault="001311C0" w:rsidP="001311C0">
      <w:pPr>
        <w:rPr>
          <w:rFonts w:asciiTheme="minorHAnsi" w:hAnsiTheme="minorHAnsi"/>
          <w:sz w:val="20"/>
          <w:szCs w:val="20"/>
        </w:rPr>
      </w:pP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B. Occurrence Rating Scale: how frequently does the failure occur:</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 xml:space="preserve">1) Remote, 2) Low, 3) Moderate, 4) Frequent, 5) Very High </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(This occurs very infrequ</w:t>
      </w:r>
      <w:r w:rsidR="00CE1DA0" w:rsidRPr="00933648">
        <w:rPr>
          <w:rFonts w:asciiTheme="minorHAnsi" w:hAnsiTheme="minorHAnsi"/>
          <w:sz w:val="20"/>
          <w:szCs w:val="20"/>
        </w:rPr>
        <w:t>ently. So occurrence should be 2</w:t>
      </w:r>
      <w:r w:rsidRPr="00933648">
        <w:rPr>
          <w:rFonts w:asciiTheme="minorHAnsi" w:hAnsiTheme="minorHAnsi"/>
          <w:sz w:val="20"/>
          <w:szCs w:val="20"/>
        </w:rPr>
        <w:t xml:space="preserve">, </w:t>
      </w:r>
      <w:r w:rsidR="00CE1DA0" w:rsidRPr="00933648">
        <w:rPr>
          <w:rFonts w:asciiTheme="minorHAnsi" w:hAnsiTheme="minorHAnsi"/>
          <w:sz w:val="20"/>
          <w:szCs w:val="20"/>
        </w:rPr>
        <w:t>low</w:t>
      </w:r>
      <w:r w:rsidRPr="00933648">
        <w:rPr>
          <w:rFonts w:asciiTheme="minorHAnsi" w:hAnsiTheme="minorHAnsi"/>
          <w:sz w:val="20"/>
          <w:szCs w:val="20"/>
        </w:rPr>
        <w:t>.</w:t>
      </w:r>
      <w:r w:rsidR="00CE1DA0" w:rsidRPr="00933648">
        <w:rPr>
          <w:rFonts w:asciiTheme="minorHAnsi" w:hAnsiTheme="minorHAnsi"/>
          <w:sz w:val="20"/>
          <w:szCs w:val="20"/>
        </w:rPr>
        <w:t xml:space="preserve">  Transfusion errors are one of the most common sentinel events according to the Joint Commission.  But among perfusionists this error is still very low.</w:t>
      </w:r>
      <w:r w:rsidRPr="00933648">
        <w:rPr>
          <w:rFonts w:asciiTheme="minorHAnsi" w:hAnsiTheme="minorHAnsi"/>
          <w:sz w:val="20"/>
          <w:szCs w:val="20"/>
        </w:rPr>
        <w:t>)</w:t>
      </w:r>
    </w:p>
    <w:p w:rsidR="001311C0" w:rsidRPr="00933648" w:rsidRDefault="001311C0" w:rsidP="001311C0">
      <w:pPr>
        <w:rPr>
          <w:rFonts w:asciiTheme="minorHAnsi" w:hAnsiTheme="minorHAnsi"/>
          <w:sz w:val="20"/>
          <w:szCs w:val="20"/>
        </w:rPr>
      </w:pP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C. Detection Rating Scale: how easily the potential failure can be detected before it occurs:</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1) Very High, 2) High, 3) Moderate, 4) Low, 5) Uncertain</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 xml:space="preserve">(This problem can be easy to detect </w:t>
      </w:r>
      <w:r w:rsidR="00DD2F30" w:rsidRPr="00933648">
        <w:rPr>
          <w:rFonts w:asciiTheme="minorHAnsi" w:hAnsiTheme="minorHAnsi"/>
          <w:sz w:val="20"/>
          <w:szCs w:val="20"/>
        </w:rPr>
        <w:t>when proper policy and procedure is followed; a detection RPN of 2</w:t>
      </w:r>
      <w:r w:rsidR="00A426CB" w:rsidRPr="00933648">
        <w:rPr>
          <w:rFonts w:asciiTheme="minorHAnsi" w:hAnsiTheme="minorHAnsi"/>
          <w:sz w:val="20"/>
          <w:szCs w:val="20"/>
        </w:rPr>
        <w:t>, high.</w:t>
      </w:r>
      <w:r w:rsidRPr="00933648">
        <w:rPr>
          <w:rFonts w:asciiTheme="minorHAnsi" w:hAnsiTheme="minorHAnsi"/>
          <w:sz w:val="20"/>
          <w:szCs w:val="20"/>
        </w:rPr>
        <w:t>)</w:t>
      </w:r>
    </w:p>
    <w:p w:rsidR="001311C0" w:rsidRPr="00933648" w:rsidRDefault="001311C0" w:rsidP="001311C0">
      <w:pPr>
        <w:rPr>
          <w:rFonts w:asciiTheme="minorHAnsi" w:hAnsiTheme="minorHAnsi"/>
          <w:sz w:val="20"/>
          <w:szCs w:val="20"/>
        </w:rPr>
      </w:pP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 xml:space="preserve">D. Patient Frequency Scale: </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1311C0" w:rsidRPr="00933648" w:rsidRDefault="001311C0" w:rsidP="001311C0">
      <w:pPr>
        <w:rPr>
          <w:rFonts w:asciiTheme="minorHAnsi" w:hAnsiTheme="minorHAnsi"/>
          <w:sz w:val="20"/>
          <w:szCs w:val="20"/>
        </w:rPr>
      </w:pPr>
      <w:r w:rsidRPr="00933648">
        <w:rPr>
          <w:rFonts w:asciiTheme="minorHAnsi" w:hAnsiTheme="minorHAnsi"/>
          <w:sz w:val="20"/>
          <w:szCs w:val="20"/>
        </w:rPr>
        <w:t>(</w:t>
      </w:r>
      <w:r w:rsidR="00DD2F30" w:rsidRPr="00933648">
        <w:rPr>
          <w:rFonts w:asciiTheme="minorHAnsi" w:hAnsiTheme="minorHAnsi"/>
          <w:sz w:val="20"/>
          <w:szCs w:val="20"/>
        </w:rPr>
        <w:t xml:space="preserve">Only patients who receive a transfusion on CPB </w:t>
      </w:r>
      <w:r w:rsidRPr="00933648">
        <w:rPr>
          <w:rFonts w:asciiTheme="minorHAnsi" w:hAnsiTheme="minorHAnsi"/>
          <w:sz w:val="20"/>
          <w:szCs w:val="20"/>
        </w:rPr>
        <w:t xml:space="preserve">are at risk. So the Patient Frequency RPN should be a </w:t>
      </w:r>
      <w:r w:rsidR="00DD2F30" w:rsidRPr="00933648">
        <w:rPr>
          <w:rFonts w:asciiTheme="minorHAnsi" w:hAnsiTheme="minorHAnsi"/>
          <w:sz w:val="20"/>
          <w:szCs w:val="20"/>
        </w:rPr>
        <w:t>2</w:t>
      </w:r>
      <w:r w:rsidRPr="00933648">
        <w:rPr>
          <w:rFonts w:asciiTheme="minorHAnsi" w:hAnsiTheme="minorHAnsi"/>
          <w:sz w:val="20"/>
          <w:szCs w:val="20"/>
        </w:rPr>
        <w:t>.)</w:t>
      </w:r>
    </w:p>
    <w:p w:rsidR="004B4180" w:rsidRPr="00933648" w:rsidRDefault="004B4180" w:rsidP="001311C0">
      <w:pPr>
        <w:rPr>
          <w:rFonts w:asciiTheme="minorHAnsi" w:hAnsiTheme="minorHAnsi"/>
          <w:sz w:val="20"/>
          <w:szCs w:val="20"/>
        </w:rPr>
      </w:pPr>
    </w:p>
    <w:p w:rsidR="004B4180" w:rsidRPr="00933648" w:rsidRDefault="004B4180" w:rsidP="004B4180">
      <w:pPr>
        <w:rPr>
          <w:rFonts w:asciiTheme="minorHAnsi" w:hAnsiTheme="minorHAnsi"/>
          <w:sz w:val="20"/>
          <w:szCs w:val="20"/>
        </w:rPr>
      </w:pPr>
      <w:r w:rsidRPr="00933648">
        <w:rPr>
          <w:rFonts w:asciiTheme="minorHAnsi" w:hAnsiTheme="minorHAnsi"/>
          <w:sz w:val="20"/>
          <w:szCs w:val="20"/>
        </w:rPr>
        <w:t>Multiply A*B*C*D = RPN.  The higher the RPN the more dangerous the Failure Mode.</w:t>
      </w:r>
    </w:p>
    <w:p w:rsidR="004B4180" w:rsidRPr="00933648" w:rsidRDefault="004B4180" w:rsidP="004B4180">
      <w:pPr>
        <w:rPr>
          <w:rFonts w:asciiTheme="minorHAnsi" w:hAnsiTheme="minorHAnsi"/>
          <w:sz w:val="20"/>
          <w:szCs w:val="20"/>
        </w:rPr>
      </w:pPr>
      <w:r w:rsidRPr="00933648">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4B4180" w:rsidRPr="00933648" w:rsidRDefault="004B4180" w:rsidP="004B4180">
      <w:pPr>
        <w:rPr>
          <w:rFonts w:asciiTheme="minorHAnsi" w:hAnsiTheme="minorHAnsi"/>
          <w:sz w:val="20"/>
          <w:szCs w:val="20"/>
        </w:rPr>
      </w:pPr>
      <w:r w:rsidRPr="00933648">
        <w:rPr>
          <w:rFonts w:asciiTheme="minorHAnsi" w:hAnsiTheme="minorHAnsi"/>
          <w:sz w:val="20"/>
          <w:szCs w:val="20"/>
        </w:rPr>
        <w:t>(The total RPN for this failure is</w:t>
      </w:r>
      <w:r w:rsidR="00DD2F30" w:rsidRPr="00933648">
        <w:rPr>
          <w:rFonts w:asciiTheme="minorHAnsi" w:hAnsiTheme="minorHAnsi"/>
          <w:sz w:val="20"/>
          <w:szCs w:val="20"/>
        </w:rPr>
        <w:t xml:space="preserve"> 5*2*2*2</w:t>
      </w:r>
      <w:r w:rsidRPr="00933648">
        <w:rPr>
          <w:rFonts w:asciiTheme="minorHAnsi" w:hAnsiTheme="minorHAnsi"/>
          <w:sz w:val="20"/>
          <w:szCs w:val="20"/>
        </w:rPr>
        <w:t xml:space="preserve"> =</w:t>
      </w:r>
      <w:r w:rsidR="00DD2F30" w:rsidRPr="00933648">
        <w:rPr>
          <w:rFonts w:asciiTheme="minorHAnsi" w:hAnsiTheme="minorHAnsi"/>
          <w:sz w:val="20"/>
          <w:szCs w:val="20"/>
        </w:rPr>
        <w:t>40</w:t>
      </w:r>
      <w:r w:rsidRPr="00933648">
        <w:rPr>
          <w:rFonts w:asciiTheme="minorHAnsi" w:hAnsiTheme="minorHAnsi"/>
          <w:sz w:val="20"/>
          <w:szCs w:val="20"/>
        </w:rPr>
        <w:t>.)</w:t>
      </w:r>
    </w:p>
    <w:sectPr w:rsidR="004B4180" w:rsidRPr="0093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1599A"/>
    <w:multiLevelType w:val="hybridMultilevel"/>
    <w:tmpl w:val="42784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F709E"/>
    <w:multiLevelType w:val="hybridMultilevel"/>
    <w:tmpl w:val="31BA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C4EC5"/>
    <w:multiLevelType w:val="hybridMultilevel"/>
    <w:tmpl w:val="541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C553A"/>
    <w:multiLevelType w:val="hybridMultilevel"/>
    <w:tmpl w:val="83746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F5795"/>
    <w:multiLevelType w:val="hybridMultilevel"/>
    <w:tmpl w:val="C768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95F33"/>
    <w:multiLevelType w:val="hybridMultilevel"/>
    <w:tmpl w:val="DB92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A046E"/>
    <w:multiLevelType w:val="hybridMultilevel"/>
    <w:tmpl w:val="18C6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86827"/>
    <w:multiLevelType w:val="hybridMultilevel"/>
    <w:tmpl w:val="28E4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34E30"/>
    <w:multiLevelType w:val="hybridMultilevel"/>
    <w:tmpl w:val="B098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24727"/>
    <w:multiLevelType w:val="hybridMultilevel"/>
    <w:tmpl w:val="71B6D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4"/>
  </w:num>
  <w:num w:numId="5">
    <w:abstractNumId w:val="1"/>
  </w:num>
  <w:num w:numId="6">
    <w:abstractNumId w:val="3"/>
  </w:num>
  <w:num w:numId="7">
    <w:abstractNumId w:val="11"/>
  </w:num>
  <w:num w:numId="8">
    <w:abstractNumId w:val="6"/>
  </w:num>
  <w:num w:numId="9">
    <w:abstractNumId w:val="9"/>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D03F8"/>
    <w:rsid w:val="001311C0"/>
    <w:rsid w:val="0015344A"/>
    <w:rsid w:val="001649D9"/>
    <w:rsid w:val="00216A1B"/>
    <w:rsid w:val="002B41CE"/>
    <w:rsid w:val="004B4180"/>
    <w:rsid w:val="004B6DF0"/>
    <w:rsid w:val="00603F46"/>
    <w:rsid w:val="00645FAE"/>
    <w:rsid w:val="006C0D1F"/>
    <w:rsid w:val="006C4B37"/>
    <w:rsid w:val="008E686A"/>
    <w:rsid w:val="00922289"/>
    <w:rsid w:val="00932658"/>
    <w:rsid w:val="00933648"/>
    <w:rsid w:val="0094739C"/>
    <w:rsid w:val="00974CF7"/>
    <w:rsid w:val="00A426CB"/>
    <w:rsid w:val="00A86790"/>
    <w:rsid w:val="00A9668C"/>
    <w:rsid w:val="00B5502B"/>
    <w:rsid w:val="00B61C12"/>
    <w:rsid w:val="00B650D5"/>
    <w:rsid w:val="00C159C1"/>
    <w:rsid w:val="00C228F5"/>
    <w:rsid w:val="00CE1DA0"/>
    <w:rsid w:val="00DD2F30"/>
    <w:rsid w:val="00F12F62"/>
    <w:rsid w:val="00F2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2016-07-06T14:10:00Z</dcterms:created>
  <dcterms:modified xsi:type="dcterms:W3CDTF">2016-07-06T14:10:00Z</dcterms:modified>
</cp:coreProperties>
</file>